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85" w:rsidRDefault="009D74A9">
      <w:pPr>
        <w:spacing w:after="600"/>
        <w:jc w:val="center"/>
      </w:pPr>
      <w:r>
        <w:rPr>
          <w:noProof/>
        </w:rPr>
        <w:drawing>
          <wp:inline distT="0" distB="0" distL="0" distR="0">
            <wp:extent cx="6886686" cy="1444290"/>
            <wp:effectExtent l="0" t="0" r="0" b="0"/>
            <wp:docPr id="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6686" cy="144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E85" w:rsidRPr="000F70FD" w:rsidRDefault="000F70FD">
      <w:pPr>
        <w:spacing w:after="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14</w:t>
      </w:r>
      <w:r w:rsidRPr="000F70F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2021</w:t>
      </w:r>
    </w:p>
    <w:p w:rsidR="000F70FD" w:rsidRPr="000F70FD" w:rsidRDefault="000F70FD" w:rsidP="000F70F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F70FD">
        <w:rPr>
          <w:rFonts w:asciiTheme="minorHAnsi" w:hAnsiTheme="minorHAnsi" w:cstheme="minorHAnsi"/>
          <w:color w:val="222222"/>
        </w:rPr>
        <w:t xml:space="preserve">The killing of Daunte Wright on Sunday, April 11, by a Brooklyn Center police officer reignites and expands many feelings - anger, grief, </w:t>
      </w:r>
      <w:proofErr w:type="gramStart"/>
      <w:r w:rsidRPr="000F70FD">
        <w:rPr>
          <w:rFonts w:asciiTheme="minorHAnsi" w:hAnsiTheme="minorHAnsi" w:cstheme="minorHAnsi"/>
          <w:color w:val="222222"/>
        </w:rPr>
        <w:t>trauma</w:t>
      </w:r>
      <w:proofErr w:type="gramEnd"/>
      <w:r w:rsidRPr="000F70FD">
        <w:rPr>
          <w:rFonts w:asciiTheme="minorHAnsi" w:hAnsiTheme="minorHAnsi" w:cstheme="minorHAnsi"/>
          <w:color w:val="222222"/>
        </w:rPr>
        <w:t xml:space="preserve"> - among our Minnesota community. Now more than ever, it's critical that we support and protect our community members who identify as Black, Indigenous, and/or people of color. </w:t>
      </w:r>
    </w:p>
    <w:p w:rsidR="000F70FD" w:rsidRPr="000F70FD" w:rsidRDefault="000F70FD" w:rsidP="000F70F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F70FD">
        <w:rPr>
          <w:rFonts w:asciiTheme="minorHAnsi" w:hAnsiTheme="minorHAnsi" w:cstheme="minorHAnsi"/>
          <w:color w:val="222222"/>
        </w:rPr>
        <w:t xml:space="preserve">While </w:t>
      </w:r>
      <w:r w:rsidR="000645A4">
        <w:rPr>
          <w:rFonts w:asciiTheme="minorHAnsi" w:hAnsiTheme="minorHAnsi" w:cstheme="minorHAnsi"/>
          <w:color w:val="222222"/>
        </w:rPr>
        <w:t xml:space="preserve">racism has been ever present in the fabric of our country, those with the most privilege are finally beginning to recognize it. The </w:t>
      </w:r>
      <w:r w:rsidRPr="000F70FD">
        <w:rPr>
          <w:rFonts w:asciiTheme="minorHAnsi" w:hAnsiTheme="minorHAnsi" w:cstheme="minorHAnsi"/>
          <w:color w:val="222222"/>
        </w:rPr>
        <w:t>CDC Director </w:t>
      </w:r>
      <w:hyperlink r:id="rId8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 xml:space="preserve">Dr. Rochelle </w:t>
        </w:r>
        <w:proofErr w:type="spellStart"/>
        <w:r w:rsidRPr="000F70FD">
          <w:rPr>
            <w:rStyle w:val="Hyperlink"/>
            <w:rFonts w:asciiTheme="minorHAnsi" w:hAnsiTheme="minorHAnsi" w:cstheme="minorHAnsi"/>
            <w:color w:val="1155CC"/>
          </w:rPr>
          <w:t>Walensky</w:t>
        </w:r>
        <w:proofErr w:type="spellEnd"/>
        <w:r w:rsidRPr="000F70FD">
          <w:rPr>
            <w:rStyle w:val="Hyperlink"/>
            <w:rFonts w:asciiTheme="minorHAnsi" w:hAnsiTheme="minorHAnsi" w:cstheme="minorHAnsi"/>
            <w:color w:val="1155CC"/>
          </w:rPr>
          <w:t xml:space="preserve"> recently declared racism a serious threat to public health</w:t>
        </w:r>
      </w:hyperlink>
      <w:r w:rsidRPr="000F70FD">
        <w:rPr>
          <w:rFonts w:asciiTheme="minorHAnsi" w:hAnsiTheme="minorHAnsi" w:cstheme="minorHAnsi"/>
          <w:color w:val="222222"/>
        </w:rPr>
        <w:t>. The impacts of systemic racism are as broad and complex as the field of public health. This requires us as public hea</w:t>
      </w:r>
      <w:bookmarkStart w:id="0" w:name="_GoBack"/>
      <w:bookmarkEnd w:id="0"/>
      <w:r w:rsidRPr="000F70FD">
        <w:rPr>
          <w:rFonts w:asciiTheme="minorHAnsi" w:hAnsiTheme="minorHAnsi" w:cstheme="minorHAnsi"/>
          <w:color w:val="222222"/>
        </w:rPr>
        <w:t>lth educators to do what we do best and look beyond treatment, and towards prevention and upstream solutions. </w:t>
      </w:r>
    </w:p>
    <w:p w:rsidR="000F70FD" w:rsidRPr="000F70FD" w:rsidRDefault="000F70FD" w:rsidP="000F70F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F70FD">
        <w:rPr>
          <w:rFonts w:asciiTheme="minorHAnsi" w:hAnsiTheme="minorHAnsi" w:cstheme="minorHAnsi"/>
          <w:color w:val="222222"/>
        </w:rPr>
        <w:t>While we work to dismantle the systems of oppression that continue to prevent our communities from living free of disparities, there are short/medium term needs that require action: </w:t>
      </w:r>
      <w:hyperlink r:id="rId9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food security</w:t>
        </w:r>
      </w:hyperlink>
      <w:r w:rsidRPr="000F70FD">
        <w:rPr>
          <w:rFonts w:asciiTheme="minorHAnsi" w:hAnsiTheme="minorHAnsi" w:cstheme="minorHAnsi"/>
          <w:color w:val="000000"/>
        </w:rPr>
        <w:t xml:space="preserve">, </w:t>
      </w:r>
      <w:hyperlink r:id="rId10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opioid addiction recovery</w:t>
        </w:r>
      </w:hyperlink>
      <w:r w:rsidRPr="000F70FD">
        <w:rPr>
          <w:rFonts w:asciiTheme="minorHAnsi" w:hAnsiTheme="minorHAnsi" w:cstheme="minorHAnsi"/>
          <w:color w:val="000000"/>
        </w:rPr>
        <w:t xml:space="preserve">, </w:t>
      </w:r>
      <w:hyperlink r:id="rId11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mental health</w:t>
        </w:r>
      </w:hyperlink>
      <w:r w:rsidRPr="000F70FD">
        <w:rPr>
          <w:rFonts w:asciiTheme="minorHAnsi" w:hAnsiTheme="minorHAnsi" w:cstheme="minorHAnsi"/>
          <w:color w:val="000000"/>
        </w:rPr>
        <w:t xml:space="preserve">, </w:t>
      </w:r>
      <w:hyperlink r:id="rId12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health care</w:t>
        </w:r>
      </w:hyperlink>
      <w:r w:rsidRPr="000F70FD">
        <w:rPr>
          <w:rFonts w:asciiTheme="minorHAnsi" w:hAnsiTheme="minorHAnsi" w:cstheme="minorHAnsi"/>
          <w:color w:val="000000"/>
        </w:rPr>
        <w:t xml:space="preserve">, </w:t>
      </w:r>
      <w:hyperlink r:id="rId13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housing</w:t>
        </w:r>
      </w:hyperlink>
      <w:r w:rsidRPr="000F70FD">
        <w:rPr>
          <w:rFonts w:asciiTheme="minorHAnsi" w:hAnsiTheme="minorHAnsi" w:cstheme="minorHAnsi"/>
          <w:color w:val="000000"/>
        </w:rPr>
        <w:t xml:space="preserve">, and </w:t>
      </w:r>
      <w:hyperlink r:id="rId14" w:tgtFrame="_blank" w:history="1">
        <w:r w:rsidRPr="000F70FD">
          <w:rPr>
            <w:rStyle w:val="Hyperlink"/>
            <w:rFonts w:asciiTheme="minorHAnsi" w:hAnsiTheme="minorHAnsi" w:cstheme="minorHAnsi"/>
            <w:color w:val="1155CC"/>
          </w:rPr>
          <w:t>environmental justice</w:t>
        </w:r>
      </w:hyperlink>
      <w:r w:rsidRPr="000F70FD">
        <w:rPr>
          <w:rFonts w:asciiTheme="minorHAnsi" w:hAnsiTheme="minorHAnsi" w:cstheme="minorHAnsi"/>
          <w:color w:val="000000"/>
        </w:rPr>
        <w:t>. We as an organization are committed to embodying and promoting diversity, equity, inclusion and anti-</w:t>
      </w:r>
      <w:proofErr w:type="spellStart"/>
      <w:r w:rsidRPr="000F70FD">
        <w:rPr>
          <w:rFonts w:asciiTheme="minorHAnsi" w:hAnsiTheme="minorHAnsi" w:cstheme="minorHAnsi"/>
          <w:color w:val="000000"/>
        </w:rPr>
        <w:t>rascist</w:t>
      </w:r>
      <w:proofErr w:type="spellEnd"/>
      <w:r w:rsidRPr="000F70FD">
        <w:rPr>
          <w:rFonts w:asciiTheme="minorHAnsi" w:hAnsiTheme="minorHAnsi" w:cstheme="minorHAnsi"/>
          <w:color w:val="000000"/>
        </w:rPr>
        <w:t xml:space="preserve"> principles, and invite you to engage with us and the membership around these critical topics.</w:t>
      </w:r>
      <w:r>
        <w:rPr>
          <w:rFonts w:asciiTheme="minorHAnsi" w:hAnsiTheme="minorHAnsi" w:cstheme="minorHAnsi"/>
          <w:color w:val="000000"/>
        </w:rPr>
        <w:t xml:space="preserve"> Please feel free to reach out to any of the board members listed below if you would like to talk through your experience during this difficult time.</w:t>
      </w:r>
    </w:p>
    <w:p w:rsidR="000F70FD" w:rsidRPr="000F70FD" w:rsidRDefault="000F70FD" w:rsidP="000F70F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F70FD">
        <w:rPr>
          <w:rFonts w:asciiTheme="minorHAnsi" w:hAnsiTheme="minorHAnsi" w:cstheme="minorHAnsi"/>
          <w:color w:val="000000"/>
        </w:rPr>
        <w:t>Sincerely,</w:t>
      </w:r>
    </w:p>
    <w:p w:rsidR="000F70FD" w:rsidRPr="000F70FD" w:rsidRDefault="000F70FD" w:rsidP="000F70F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F70FD">
        <w:rPr>
          <w:rFonts w:asciiTheme="minorHAnsi" w:hAnsiTheme="minorHAnsi" w:cstheme="minorHAnsi"/>
          <w:color w:val="000000"/>
        </w:rPr>
        <w:t xml:space="preserve">MN </w:t>
      </w:r>
      <w:proofErr w:type="spellStart"/>
      <w:r w:rsidRPr="000F70FD">
        <w:rPr>
          <w:rFonts w:asciiTheme="minorHAnsi" w:hAnsiTheme="minorHAnsi" w:cstheme="minorHAnsi"/>
          <w:color w:val="000000"/>
        </w:rPr>
        <w:t>SOPHE</w:t>
      </w:r>
      <w:proofErr w:type="spellEnd"/>
      <w:r w:rsidRPr="000F70FD">
        <w:rPr>
          <w:rFonts w:asciiTheme="minorHAnsi" w:hAnsiTheme="minorHAnsi" w:cstheme="minorHAnsi"/>
          <w:color w:val="000000"/>
        </w:rPr>
        <w:t xml:space="preserve"> Board of Directors</w:t>
      </w:r>
    </w:p>
    <w:p w:rsidR="00A32E85" w:rsidRDefault="00A32E85"/>
    <w:sectPr w:rsidR="00A32E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806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A9" w:rsidRDefault="009D74A9">
      <w:pPr>
        <w:spacing w:after="0"/>
      </w:pPr>
      <w:r>
        <w:separator/>
      </w:r>
    </w:p>
  </w:endnote>
  <w:endnote w:type="continuationSeparator" w:id="0">
    <w:p w:rsidR="009D74A9" w:rsidRDefault="009D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A3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A32E8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1339" w:type="dxa"/>
      <w:tblLayout w:type="fixed"/>
      <w:tblLook w:val="0600" w:firstRow="0" w:lastRow="0" w:firstColumn="0" w:lastColumn="0" w:noHBand="1" w:noVBand="1"/>
    </w:tblPr>
    <w:tblGrid>
      <w:gridCol w:w="8753"/>
      <w:gridCol w:w="723"/>
      <w:gridCol w:w="621"/>
      <w:gridCol w:w="621"/>
      <w:gridCol w:w="621"/>
    </w:tblGrid>
    <w:tr w:rsidR="00A32E85">
      <w:trPr>
        <w:trHeight w:val="288"/>
      </w:trPr>
      <w:tc>
        <w:tcPr>
          <w:tcW w:w="10098" w:type="dxa"/>
          <w:gridSpan w:val="3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</w:rPr>
          </w:pPr>
          <w:proofErr w:type="spellStart"/>
          <w:r>
            <w:rPr>
              <w:color w:val="000000"/>
            </w:rPr>
            <w:t>SOPHEminn@gmail.com</w:t>
          </w:r>
          <w:proofErr w:type="spellEnd"/>
        </w:p>
      </w:tc>
      <w:tc>
        <w:tcPr>
          <w:tcW w:w="621" w:type="dxa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7325" cy="187325"/>
                <wp:effectExtent l="0" t="0" r="0" b="0"/>
                <wp:docPr id="28" name="image1.png" descr="Envelo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nvelop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</w:tr>
    <w:bookmarkStart w:id="1" w:name="_heading=h.gjdgxs" w:colFirst="0" w:colLast="0"/>
    <w:bookmarkEnd w:id="1"/>
    <w:tr w:rsidR="00A32E85">
      <w:trPr>
        <w:trHeight w:val="288"/>
      </w:trPr>
      <w:tc>
        <w:tcPr>
          <w:tcW w:w="9477" w:type="dxa"/>
          <w:gridSpan w:val="2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</w:rPr>
          </w:pPr>
          <w:r>
            <w:fldChar w:fldCharType="begin"/>
          </w:r>
          <w:r>
            <w:instrText xml:space="preserve"> HYPERLINK "http://www.mnsophe.wildapricot.org/" \h </w:instrText>
          </w:r>
          <w:r>
            <w:fldChar w:fldCharType="separate"/>
          </w:r>
          <w:r>
            <w:rPr>
              <w:color w:val="6B9F25"/>
              <w:u w:val="single"/>
            </w:rPr>
            <w:t>http://</w:t>
          </w:r>
          <w:proofErr w:type="spellStart"/>
          <w:r>
            <w:rPr>
              <w:color w:val="6B9F25"/>
              <w:u w:val="single"/>
            </w:rPr>
            <w:t>www.mnsophe.wildapricot.org</w:t>
          </w:r>
          <w:proofErr w:type="spellEnd"/>
          <w:r>
            <w:rPr>
              <w:color w:val="6B9F25"/>
              <w:u w:val="single"/>
            </w:rPr>
            <w:fldChar w:fldCharType="end"/>
          </w:r>
        </w:p>
      </w:tc>
      <w:tc>
        <w:tcPr>
          <w:tcW w:w="621" w:type="dxa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7325" cy="187325"/>
                <wp:effectExtent l="0" t="0" r="0" b="0"/>
                <wp:docPr id="27" name="image4.png" descr="Worl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Worl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</w:tr>
    <w:tr w:rsidR="00A32E85">
      <w:trPr>
        <w:trHeight w:val="288"/>
      </w:trPr>
      <w:tc>
        <w:tcPr>
          <w:tcW w:w="8754" w:type="dxa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color w:val="000000"/>
            </w:rPr>
          </w:pPr>
          <w:r>
            <w:rPr>
              <w:color w:val="000000"/>
            </w:rPr>
            <w:t>800 W. College St., St. Peter, MN 56082</w:t>
          </w:r>
        </w:p>
      </w:tc>
      <w:tc>
        <w:tcPr>
          <w:tcW w:w="723" w:type="dxa"/>
          <w:vAlign w:val="center"/>
        </w:tcPr>
        <w:p w:rsidR="00A32E85" w:rsidRDefault="009D7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8910" cy="168910"/>
                <wp:effectExtent l="0" t="0" r="0" b="0"/>
                <wp:docPr id="29" name="image3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om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  <w:tc>
        <w:tcPr>
          <w:tcW w:w="621" w:type="dxa"/>
        </w:tcPr>
        <w:p w:rsidR="00A32E85" w:rsidRDefault="00A32E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color w:val="000000"/>
            </w:rPr>
          </w:pPr>
        </w:p>
      </w:tc>
    </w:tr>
  </w:tbl>
  <w:p w:rsidR="00A32E85" w:rsidRDefault="00A3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A3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A9" w:rsidRDefault="009D74A9">
      <w:pPr>
        <w:spacing w:after="0"/>
      </w:pPr>
      <w:r>
        <w:separator/>
      </w:r>
    </w:p>
  </w:footnote>
  <w:footnote w:type="continuationSeparator" w:id="0">
    <w:p w:rsidR="009D74A9" w:rsidRDefault="009D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A3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9D7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5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215900</wp:posOffset>
              </wp:positionV>
              <wp:extent cx="2524125" cy="421005"/>
              <wp:effectExtent l="0" t="0" r="0" b="0"/>
              <wp:wrapNone/>
              <wp:docPr id="25" name="Rectangle 25" descr="Logo Goes He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57426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32E85" w:rsidRDefault="00A32E85">
                          <w:pPr>
                            <w:spacing w:after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19050" tIns="19050" rIns="19050" bIns="1905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215900</wp:posOffset>
              </wp:positionV>
              <wp:extent cx="2524125" cy="421005"/>
              <wp:effectExtent b="0" l="0" r="0" t="0"/>
              <wp:wrapNone/>
              <wp:docPr descr="Logo Goes Here" id="25" name="image5.png"/>
              <a:graphic>
                <a:graphicData uri="http://schemas.openxmlformats.org/drawingml/2006/picture">
                  <pic:pic>
                    <pic:nvPicPr>
                      <pic:cNvPr descr="Logo Goes Here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421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85" w:rsidRDefault="00A32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5"/>
    <w:rsid w:val="000645A4"/>
    <w:rsid w:val="000F70FD"/>
    <w:rsid w:val="009D74A9"/>
    <w:rsid w:val="00A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545F"/>
  <w15:docId w15:val="{EFD39405-DF0C-4792-A8DD-2BDE8DD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BD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7B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145359"/>
  </w:style>
  <w:style w:type="character" w:styleId="Hyperlink">
    <w:name w:val="Hyperlink"/>
    <w:basedOn w:val="DefaultParagraphFont"/>
    <w:uiPriority w:val="99"/>
    <w:unhideWhenUsed/>
    <w:rsid w:val="003D0010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00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9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35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10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64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edia/releases/2021/s0408-racism-health.html" TargetMode="External"/><Relationship Id="rId13" Type="http://schemas.openxmlformats.org/officeDocument/2006/relationships/hyperlink" Target="https://www.ppl-inc.or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hca-mn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mimn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n.gov/dhs/opioid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hungersolutions.org/programs/mn-food-helpline/" TargetMode="External"/><Relationship Id="rId14" Type="http://schemas.openxmlformats.org/officeDocument/2006/relationships/hyperlink" Target="https://www.pca.state.mn.us/about-mpca/mpca-and-environmental-justic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SsTw4OLiL0UmbzPLLboGTChVA==">AMUW2mWiolgFGFVGXa7xHXG3JIYg6t5xvQPoIifFvadFsQduUvFMB6/eeqLlFOH3MQs/W5RpXzH2TerPzoTgNmYEUitbIrwNGEsGrn43fy/2ZUlhGJClaahkOrhQ2OHV/fWWKmwdMnwR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Hersch</dc:creator>
  <cp:lastModifiedBy>Derek Hersch</cp:lastModifiedBy>
  <cp:revision>3</cp:revision>
  <dcterms:created xsi:type="dcterms:W3CDTF">2021-04-14T15:53:00Z</dcterms:created>
  <dcterms:modified xsi:type="dcterms:W3CDTF">2021-04-14T15:57:00Z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